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4F2913" w:rsidRPr="00AD4AF2">
        <w:trPr>
          <w:trHeight w:val="1860"/>
        </w:trPr>
        <w:tc>
          <w:tcPr>
            <w:tcW w:w="3652" w:type="dxa"/>
          </w:tcPr>
          <w:p w:rsidR="004F2913" w:rsidRPr="00E17778" w:rsidRDefault="004F2913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4F2913" w:rsidRPr="00E17778" w:rsidRDefault="004F2913" w:rsidP="00E2206A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18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4F2913" w:rsidRDefault="004F2913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4F2913" w:rsidRPr="00E44C22" w:rsidRDefault="004F2913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4F2913" w:rsidRPr="00AD4AF2" w:rsidRDefault="004F2913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4F2913" w:rsidRPr="00E94413" w:rsidRDefault="004F2913" w:rsidP="00D57BCA">
      <w:pPr>
        <w:jc w:val="right"/>
        <w:rPr>
          <w:rFonts w:ascii="Arial" w:hAnsi="Arial" w:cs="Arial"/>
          <w:sz w:val="20"/>
          <w:szCs w:val="20"/>
        </w:rPr>
      </w:pPr>
      <w:r w:rsidRPr="00AD4AF2">
        <w:rPr>
          <w:sz w:val="28"/>
          <w:szCs w:val="28"/>
        </w:rPr>
        <w:tab/>
      </w:r>
    </w:p>
    <w:p w:rsidR="004F2913" w:rsidRDefault="004F2913" w:rsidP="00D57BCA">
      <w:pPr>
        <w:jc w:val="center"/>
        <w:rPr>
          <w:rFonts w:ascii="Arial" w:hAnsi="Arial" w:cs="Arial"/>
          <w:sz w:val="33"/>
          <w:szCs w:val="33"/>
        </w:rPr>
      </w:pPr>
      <w:r w:rsidRPr="00D57BCA">
        <w:rPr>
          <w:rFonts w:ascii="Arial" w:hAnsi="Arial" w:cs="Arial"/>
          <w:sz w:val="28"/>
          <w:szCs w:val="28"/>
        </w:rPr>
        <w:t>ПОРЯДОК</w:t>
      </w:r>
      <w:r w:rsidRPr="00D57BCA">
        <w:rPr>
          <w:rFonts w:ascii="Arial" w:hAnsi="Arial" w:cs="Arial"/>
          <w:sz w:val="28"/>
          <w:szCs w:val="28"/>
        </w:rPr>
        <w:br/>
        <w:t>приема-передачи документов бухгалтерского учета при смене руководителя и (или) главного</w:t>
      </w:r>
      <w:r w:rsidRPr="00D57BCA">
        <w:rPr>
          <w:rFonts w:ascii="Arial" w:hAnsi="Arial" w:cs="Arial"/>
          <w:sz w:val="33"/>
          <w:szCs w:val="33"/>
        </w:rPr>
        <w:t xml:space="preserve"> бухгалтера</w:t>
      </w:r>
    </w:p>
    <w:p w:rsidR="004F2913" w:rsidRPr="00D57BCA" w:rsidRDefault="004F2913" w:rsidP="00D57BCA">
      <w:pPr>
        <w:jc w:val="center"/>
        <w:rPr>
          <w:rFonts w:ascii="Arial" w:hAnsi="Arial" w:cs="Arial"/>
          <w:sz w:val="33"/>
          <w:szCs w:val="33"/>
        </w:rPr>
      </w:pPr>
    </w:p>
    <w:p w:rsidR="004F2913" w:rsidRPr="00D57BCA" w:rsidRDefault="004F2913" w:rsidP="00D57BCA">
      <w:pPr>
        <w:tabs>
          <w:tab w:val="left" w:pos="8040"/>
        </w:tabs>
        <w:rPr>
          <w:sz w:val="28"/>
          <w:szCs w:val="28"/>
          <w:shd w:val="clear" w:color="auto" w:fill="FFFFFF"/>
        </w:rPr>
      </w:pPr>
      <w:r>
        <w:t xml:space="preserve">             </w:t>
      </w:r>
      <w:r w:rsidRPr="00D57BCA">
        <w:rPr>
          <w:sz w:val="28"/>
          <w:szCs w:val="28"/>
        </w:rPr>
        <w:t>В соответствии с пунктом 4 статьи 29 Закона от 6 декабря 2011 г. № 402-ФЗ «О бухгалтерском учете», пунктом 14 Инструкции к Единому плану счетов № 157н</w:t>
      </w:r>
      <w:r w:rsidRPr="00D57BCA">
        <w:rPr>
          <w:sz w:val="28"/>
          <w:szCs w:val="28"/>
          <w:shd w:val="clear" w:color="auto" w:fill="FFFFFF"/>
        </w:rPr>
        <w:t xml:space="preserve">, уставом </w:t>
      </w:r>
      <w:r w:rsidRPr="00D57BCA">
        <w:rPr>
          <w:sz w:val="28"/>
          <w:szCs w:val="28"/>
        </w:rPr>
        <w:t>Администрации Незамаевского сельского поселения Павловского района</w:t>
      </w:r>
      <w:r w:rsidRPr="00D57BCA">
        <w:rPr>
          <w:sz w:val="28"/>
          <w:szCs w:val="28"/>
          <w:shd w:val="clear" w:color="auto" w:fill="FFFFFF"/>
        </w:rPr>
        <w:t>(далее – учреждение) в учреждении утверждается Порядок</w:t>
      </w:r>
      <w:r w:rsidRPr="00D57BCA">
        <w:rPr>
          <w:sz w:val="28"/>
          <w:szCs w:val="28"/>
        </w:rPr>
        <w:t xml:space="preserve"> передачи документов бухучета</w:t>
      </w:r>
      <w:r w:rsidRPr="00D57BCA">
        <w:rPr>
          <w:b/>
          <w:bCs/>
          <w:sz w:val="28"/>
          <w:szCs w:val="28"/>
        </w:rPr>
        <w:t xml:space="preserve"> </w:t>
      </w:r>
      <w:r w:rsidRPr="00D57BCA">
        <w:rPr>
          <w:sz w:val="28"/>
          <w:szCs w:val="28"/>
        </w:rPr>
        <w:t>при смене руководителя</w:t>
      </w:r>
      <w:r w:rsidRPr="00D57BCA">
        <w:rPr>
          <w:sz w:val="28"/>
          <w:szCs w:val="28"/>
          <w:shd w:val="clear" w:color="auto" w:fill="FFFFFF"/>
        </w:rPr>
        <w:t xml:space="preserve"> и (или) главного бухгалтера.</w:t>
      </w:r>
    </w:p>
    <w:p w:rsidR="004F2913" w:rsidRPr="00D57BCA" w:rsidRDefault="004F2913" w:rsidP="00D57BCA">
      <w:pPr>
        <w:pStyle w:val="a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>При смене руководителя и (или) главного бухгалтера (далее – увольняемые лица) они обязаны в рамках передачи дел заместителю, новому должностному лицу, иному уполномоченному должностному лицу учреждения (далее – уполномоченное лицо) передать документы бухучета, а также печати и штампы, хранящиеся в бухгалтерии.</w:t>
      </w:r>
    </w:p>
    <w:p w:rsidR="004F2913" w:rsidRPr="00D57BCA" w:rsidRDefault="004F2913" w:rsidP="00D57BCA">
      <w:pPr>
        <w:pStyle w:val="a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</w:rPr>
        <w:t>Передача бухгалтерских документов на основании приказа руководителя .</w:t>
      </w:r>
    </w:p>
    <w:p w:rsidR="004F2913" w:rsidRPr="00D57BCA" w:rsidRDefault="004F2913" w:rsidP="00D57BCA">
      <w:pPr>
        <w:pStyle w:val="a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Передача документов бухучета, осуществляется при участии комиссии, создаваемой в учреждении, с составлением акта приема-передачи. Прием-передача бухгалтерских документов оформляется в соответствии с примерной формой акта приема-передачи, прилагаемой к настоящему Порядку.</w:t>
      </w:r>
    </w:p>
    <w:p w:rsidR="004F2913" w:rsidRPr="00D57BCA" w:rsidRDefault="004F2913" w:rsidP="00D57BCA">
      <w:pPr>
        <w:pStyle w:val="a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комиссию, указанную в пункте 4 настоящего Порядка, включаются сотрудники учреждения </w:t>
      </w:r>
      <w:r w:rsidRPr="00D57BCA">
        <w:rPr>
          <w:rFonts w:ascii="Times New Roman" w:hAnsi="Times New Roman" w:cs="Times New Roman"/>
          <w:sz w:val="28"/>
          <w:szCs w:val="28"/>
        </w:rPr>
        <w:t>и (или) учредителя</w:t>
      </w: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F2913" w:rsidRPr="00D57BCA" w:rsidRDefault="004F2913" w:rsidP="00D57BCA">
      <w:pPr>
        <w:pStyle w:val="a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Передаются следующие документы:</w:t>
      </w:r>
    </w:p>
    <w:p w:rsidR="004F2913" w:rsidRPr="00D57BCA" w:rsidRDefault="004F2913" w:rsidP="00D57BCA">
      <w:pPr>
        <w:rPr>
          <w:sz w:val="28"/>
          <w:szCs w:val="28"/>
        </w:rPr>
      </w:pPr>
      <w:r w:rsidRPr="00D57BCA">
        <w:rPr>
          <w:sz w:val="28"/>
          <w:szCs w:val="28"/>
        </w:rPr>
        <w:t>– учетная политика со всеми приложениями;</w:t>
      </w:r>
    </w:p>
    <w:p w:rsidR="004F2913" w:rsidRPr="00D57BCA" w:rsidRDefault="004F2913" w:rsidP="00D57BCA">
      <w:pPr>
        <w:pStyle w:val="Style1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квартальные и годовые бухгалтерские отчеты и балансы, налоговые декларации;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по планированию, в том числе план финансово-хозяйственной деятельности учреждения, государственное задание, план-график закупок, обоснования к планам;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бухгалтерские регистры синтетического и аналитического учета: книги, оборотные ведомости, карточки, журналы операций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Style w:val="spfo1"/>
          <w:rFonts w:ascii="Times New Roman" w:hAnsi="Times New Roman" w:cs="Times New Roman"/>
          <w:sz w:val="28"/>
          <w:szCs w:val="28"/>
        </w:rPr>
        <w:t>– налоговые регистры;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по реализации: книга покупок, книга продаж, журналы регистрации счетов-фактур, акты, счета-фактуры, товарные накладные и т. д.;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о задолженности учреждения, в том числе по кредитам и по уплате налогов;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 состоянии лицевых</w:t>
      </w:r>
      <w:r w:rsidRPr="00D57BCA">
        <w:rPr>
          <w:rFonts w:ascii="Times New Roman" w:hAnsi="Times New Roman" w:cs="Times New Roman"/>
          <w:sz w:val="28"/>
          <w:szCs w:val="28"/>
        </w:rPr>
        <w:t xml:space="preserve"> и банковских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счетов учреждения;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о выполнении утвержденного государственного задания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по учету зарплаты и по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персонифицированному учету;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по кассе: кассовые книги, журналы, расходные и приходные кассовые ордера, денежные документы и т. д.;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акт о состоянии кассы, составленный на основании ревизии кассы и скрепленный подписью главного бухгалтера;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об условиях хранения и учета наличных денежных средств;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договоры с поставщиками и подрядчиками, контрагентами, аренды и т. д.;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договоры с покупателями услуг и работ,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подрядчиками и поставщиками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учредительные документы и свидетельства: постановка на учет, присвоение номеров, внесение записей в единый реестр, коды и т. п.;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 недвижимом имуществе, транспортных средствах учреждения: свидетельства о праве собственности, выписки из ЕГРП, паспорта транспортных средств и т. п.;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об основных средствах, нематериальных активах и товарно-материальных ценностях;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акты о результатах полной инвентаризации имущества и финансовых обязательств учреждения с приложением инвентаризационных описей, акта проверки кассы учреждения;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акты ревизий и проверок;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материалы о недостачах и хищениях, переданных и не переданных в правоохранительные органы;</w:t>
      </w:r>
    </w:p>
    <w:p w:rsidR="004F2913" w:rsidRPr="00D57BCA" w:rsidRDefault="004F2913" w:rsidP="00D57BCA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договоры с кредитными организациями;</w:t>
      </w:r>
    </w:p>
    <w:p w:rsidR="004F2913" w:rsidRPr="00D57BCA" w:rsidRDefault="004F2913" w:rsidP="00515886">
      <w:pPr>
        <w:jc w:val="both"/>
        <w:rPr>
          <w:sz w:val="28"/>
          <w:szCs w:val="28"/>
        </w:rPr>
      </w:pPr>
      <w:r w:rsidRPr="00D57BCA">
        <w:rPr>
          <w:sz w:val="28"/>
          <w:szCs w:val="28"/>
        </w:rPr>
        <w:tab/>
      </w:r>
      <w:r w:rsidRPr="00D57BCA">
        <w:rPr>
          <w:sz w:val="28"/>
          <w:szCs w:val="28"/>
        </w:rPr>
        <w:tab/>
        <w:t xml:space="preserve">                                              </w:t>
      </w:r>
    </w:p>
    <w:p w:rsidR="004F2913" w:rsidRPr="00D57BCA" w:rsidRDefault="004F2913" w:rsidP="00515886">
      <w:pPr>
        <w:jc w:val="both"/>
        <w:rPr>
          <w:sz w:val="28"/>
          <w:szCs w:val="28"/>
        </w:rPr>
      </w:pPr>
    </w:p>
    <w:p w:rsidR="004F2913" w:rsidRPr="00D57BCA" w:rsidRDefault="004F2913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2913" w:rsidRDefault="004F2913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4F2913" w:rsidRDefault="004F2913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4F2913" w:rsidRPr="00AD4AF2" w:rsidRDefault="004F2913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4F2913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913" w:rsidRDefault="004F2913" w:rsidP="005A222D">
      <w:r>
        <w:separator/>
      </w:r>
    </w:p>
  </w:endnote>
  <w:endnote w:type="continuationSeparator" w:id="0">
    <w:p w:rsidR="004F2913" w:rsidRDefault="004F2913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913" w:rsidRDefault="004F29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913" w:rsidRDefault="004F29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913" w:rsidRDefault="004F2913" w:rsidP="005A222D">
      <w:r>
        <w:separator/>
      </w:r>
    </w:p>
  </w:footnote>
  <w:footnote w:type="continuationSeparator" w:id="0">
    <w:p w:rsidR="004F2913" w:rsidRDefault="004F2913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913" w:rsidRDefault="004F291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F2913" w:rsidRDefault="004F29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913" w:rsidRDefault="004F29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315B"/>
    <w:multiLevelType w:val="multilevel"/>
    <w:tmpl w:val="70C49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E08C2"/>
    <w:rsid w:val="0020323B"/>
    <w:rsid w:val="0029378A"/>
    <w:rsid w:val="00296BE4"/>
    <w:rsid w:val="003528AC"/>
    <w:rsid w:val="003A53EA"/>
    <w:rsid w:val="00451926"/>
    <w:rsid w:val="004F2913"/>
    <w:rsid w:val="00515886"/>
    <w:rsid w:val="00546E33"/>
    <w:rsid w:val="0057417F"/>
    <w:rsid w:val="005A222D"/>
    <w:rsid w:val="005B35B4"/>
    <w:rsid w:val="00647D02"/>
    <w:rsid w:val="006A2F31"/>
    <w:rsid w:val="007301A6"/>
    <w:rsid w:val="00792DE4"/>
    <w:rsid w:val="007A2BD2"/>
    <w:rsid w:val="00811F4D"/>
    <w:rsid w:val="0081658C"/>
    <w:rsid w:val="008B2526"/>
    <w:rsid w:val="008B2A3D"/>
    <w:rsid w:val="00980302"/>
    <w:rsid w:val="009C388C"/>
    <w:rsid w:val="00A51F30"/>
    <w:rsid w:val="00A533BD"/>
    <w:rsid w:val="00A669C9"/>
    <w:rsid w:val="00A72555"/>
    <w:rsid w:val="00AA7966"/>
    <w:rsid w:val="00AD4AF2"/>
    <w:rsid w:val="00B25B38"/>
    <w:rsid w:val="00B915BB"/>
    <w:rsid w:val="00C67DCE"/>
    <w:rsid w:val="00CA0FDC"/>
    <w:rsid w:val="00CB7995"/>
    <w:rsid w:val="00CF1FE0"/>
    <w:rsid w:val="00D57BCA"/>
    <w:rsid w:val="00DE2E56"/>
    <w:rsid w:val="00E11869"/>
    <w:rsid w:val="00E134EF"/>
    <w:rsid w:val="00E17778"/>
    <w:rsid w:val="00E2206A"/>
    <w:rsid w:val="00E44C22"/>
    <w:rsid w:val="00E7351D"/>
    <w:rsid w:val="00E94413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Абзац списка"/>
    <w:basedOn w:val="Normal"/>
    <w:uiPriority w:val="99"/>
    <w:rsid w:val="00D57BC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uiPriority w:val="99"/>
    <w:rsid w:val="00D57BCA"/>
    <w:pPr>
      <w:widowControl w:val="0"/>
      <w:autoSpaceDE w:val="0"/>
      <w:autoSpaceDN w:val="0"/>
    </w:pPr>
    <w:rPr>
      <w:rFonts w:cs="Calibri"/>
    </w:rPr>
  </w:style>
  <w:style w:type="character" w:customStyle="1" w:styleId="spfo1">
    <w:name w:val="spfo1"/>
    <w:basedOn w:val="DefaultParagraphFont"/>
    <w:uiPriority w:val="99"/>
    <w:rsid w:val="00D57BCA"/>
  </w:style>
  <w:style w:type="paragraph" w:styleId="BalloonText">
    <w:name w:val="Balloon Text"/>
    <w:basedOn w:val="Normal"/>
    <w:link w:val="BalloonTextChar"/>
    <w:uiPriority w:val="99"/>
    <w:semiHidden/>
    <w:rsid w:val="00D57B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A34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550</Words>
  <Characters>3137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4</cp:revision>
  <cp:lastPrinted>2019-12-30T08:28:00Z</cp:lastPrinted>
  <dcterms:created xsi:type="dcterms:W3CDTF">2019-12-30T06:40:00Z</dcterms:created>
  <dcterms:modified xsi:type="dcterms:W3CDTF">2019-12-30T08:32:00Z</dcterms:modified>
</cp:coreProperties>
</file>